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rPr>
        <w:t>УЧЕБНЫЙ ПРИМЕР для курса AI-ANALYTICS. Все организации, лица, реквизиты и цифры вымышлены.</w:t>
      </w:r>
    </w:p>
    <w:p>
      <w:pPr>
        <w:pStyle w:val="Heading1"/>
      </w:pPr>
      <w:r>
        <w:t>ДОГОВОР ПОДРЯДА № ТП-47/2026</w:t>
      </w:r>
    </w:p>
    <w:p>
      <w:r>
        <w:rPr>
          <w:b/>
        </w:rPr>
        <w:t>на выполнение работ по технологическому присоединению объекта капитального строительства к сети газораспределения</w:t>
      </w:r>
    </w:p>
    <w:p>
      <w:r>
        <w:rPr>
          <w:b w:val="0"/>
        </w:rPr>
        <w:t>Проект. Редакция Заказчика от 14.04.2026.</w:t>
      </w:r>
    </w:p>
    <w:p>
      <w:r>
        <w:rPr>
          <w:b w:val="0"/>
        </w:rPr>
        <w:t>г. Тверь — 14 апреля 2026 г.</w:t>
      </w:r>
    </w:p>
    <w:p>
      <w:r>
        <w:rPr>
          <w:b w:val="0"/>
        </w:rPr>
        <w:t>Акционерное общество «Облгазсеть-Инжиниринг», именуемое в дальнейшем «Заказчик», в лице генерального директора Савельева Дмитрия Николаевича, действующего на основании Устава, с одной стороны, и Общество с ограниченной ответственностью «СтройГазКомплект», именуемое в дальнейшем «Подрядчик», в лице генерального директора Крутова Андрея Павловича, действующего на основании Устава, с другой стороны, совместно именуемые «Стороны», а по отдельности — «Сторона», заключили настоящий Договор о нижеследующем.</w:t>
      </w:r>
    </w:p>
    <w:p>
      <w:pPr>
        <w:pStyle w:val="Heading2"/>
      </w:pPr>
      <w:r>
        <w:t>1. Предмет Договора</w:t>
      </w:r>
    </w:p>
    <w:p>
      <w:r>
        <w:rPr>
          <w:b w:val="0"/>
        </w:rPr>
        <w:t>1.1. Подрядчик обязуется по заданию Заказчика выполнить комплекс работ по строительству сети газораспределения в целях технологического присоединения объекта капитального строительства «Производственный корпус ООО «Верхневолжский арматурный завод»», расположенного по адресу: Тверская область, г. Ржев, ул. Заводская, д. 27 (далее — Объект), а Заказчик обязуется принять результат работ и оплатить его в порядке и на условиях, предусмотренных настоящим Договором.</w:t>
      </w:r>
    </w:p>
    <w:p>
      <w:r>
        <w:rPr>
          <w:b w:val="0"/>
        </w:rPr>
        <w:t>1.2. В состав работ по настоящему Договору входят:</w:t>
      </w:r>
    </w:p>
    <w:p>
      <w:r>
        <w:rPr>
          <w:b w:val="0"/>
        </w:rPr>
        <w:t>1.2.1. разработка проектной и рабочей документации на строительство газопровода-ввода среднего давления Ду 110 мм ориентировочной протяжённостью 640 м от точки подключения к существующему распределительному газопроводу до границы земельного участка Объекта;</w:t>
      </w:r>
    </w:p>
    <w:p>
      <w:r>
        <w:rPr>
          <w:b w:val="0"/>
        </w:rPr>
        <w:t>1.2.2. строительно-монтажные работы: прокладка подземного газопровода из полиэтиленовых труб ПЭ 100 SDR 11, устройство перехода через автомобильную дорогу методом наклонно-направленного бурения, монтаж пункта редуцирования газа (ГРПШ) с основной и резервной линиями редуцирования;</w:t>
      </w:r>
    </w:p>
    <w:p>
      <w:r>
        <w:rPr>
          <w:b w:val="0"/>
        </w:rPr>
        <w:t>1.2.3. монтаж узла учёта газа с электронным корректором объёма газа и подключением к системе телеметрии Заказчика;</w:t>
      </w:r>
    </w:p>
    <w:p>
      <w:r>
        <w:rPr>
          <w:b w:val="0"/>
        </w:rPr>
        <w:t>1.2.4. пусконаладочные работы, врезка в действующий газопровод, первичный пуск газа, оформление исполнительной документации и сдача Объекта в эксплуатацию в установленном порядке.</w:t>
      </w:r>
    </w:p>
    <w:p>
      <w:r>
        <w:rPr>
          <w:b w:val="0"/>
        </w:rPr>
        <w:t>1.3. Работы выполняются в соответствии с техническими условиями на подключение № ТУ-386/2025 от 18.12.2025, заданием на проектирование (Приложение № 1 к Договору), графиком производства работ (Приложение № 2 к Договору) и требованиями действующих нормативных правовых актов и нормативно-технических документов в области газораспределения и градостроительной деятельности.</w:t>
      </w:r>
    </w:p>
    <w:p>
      <w:r>
        <w:rPr>
          <w:b w:val="0"/>
        </w:rPr>
        <w:t>1.4. Расчётный максимальный часовой расход газа Объекта — 210 куб. м/ч. Давление газа в точке подключения — 0,3 МПа (среднее).</w:t>
      </w:r>
    </w:p>
    <w:p>
      <w:pPr>
        <w:pStyle w:val="Heading2"/>
      </w:pPr>
      <w:r>
        <w:t>2. Сроки выполнения работ</w:t>
      </w:r>
    </w:p>
    <w:p>
      <w:r>
        <w:rPr>
          <w:b w:val="0"/>
        </w:rPr>
        <w:t>2.1. Общий срок выполнения работ по Договору — 120 (сто двадцать) календарных дней с даты поступления авансового платежа, предусмотренного пунктом 3.3 Договора, на расчётный счёт Подрядчика.</w:t>
      </w:r>
    </w:p>
    <w:p>
      <w:r>
        <w:rPr>
          <w:b w:val="0"/>
        </w:rPr>
        <w:t>2.2. Работы выполняются поэтапно:</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val="0"/>
              </w:rPr>
              <w:t>Этап</w:t>
            </w:r>
          </w:p>
        </w:tc>
        <w:tc>
          <w:tcPr>
            <w:tcW w:type="dxa" w:w="2880"/>
          </w:tcPr>
          <w:p>
            <w:r/>
            <w:r>
              <w:rPr>
                <w:b w:val="0"/>
              </w:rPr>
              <w:t>Содержание работ</w:t>
            </w:r>
          </w:p>
        </w:tc>
        <w:tc>
          <w:tcPr>
            <w:tcW w:type="dxa" w:w="2880"/>
          </w:tcPr>
          <w:p>
            <w:r/>
            <w:r>
              <w:rPr>
                <w:b w:val="0"/>
              </w:rPr>
              <w:t>Продолжительность</w:t>
            </w:r>
          </w:p>
        </w:tc>
      </w:tr>
      <w:tr>
        <w:tc>
          <w:tcPr>
            <w:tcW w:type="dxa" w:w="2880"/>
          </w:tcPr>
          <w:p>
            <w:r/>
            <w:r>
              <w:rPr>
                <w:b w:val="0"/>
              </w:rPr>
              <w:t>1</w:t>
            </w:r>
          </w:p>
        </w:tc>
        <w:tc>
          <w:tcPr>
            <w:tcW w:type="dxa" w:w="2880"/>
          </w:tcPr>
          <w:p>
            <w:r/>
            <w:r>
              <w:rPr>
                <w:b w:val="0"/>
              </w:rPr>
              <w:t>Проектно-изыскательские работы, получение положительного заключения экспертизы проектной документации</w:t>
            </w:r>
          </w:p>
        </w:tc>
        <w:tc>
          <w:tcPr>
            <w:tcW w:type="dxa" w:w="2880"/>
          </w:tcPr>
          <w:p>
            <w:r/>
            <w:r>
              <w:rPr>
                <w:b w:val="0"/>
              </w:rPr>
              <w:t>30 календарных дней</w:t>
            </w:r>
          </w:p>
        </w:tc>
      </w:tr>
      <w:tr>
        <w:tc>
          <w:tcPr>
            <w:tcW w:type="dxa" w:w="2880"/>
          </w:tcPr>
          <w:p>
            <w:r/>
            <w:r>
              <w:rPr>
                <w:b w:val="0"/>
              </w:rPr>
              <w:t>2</w:t>
            </w:r>
          </w:p>
        </w:tc>
        <w:tc>
          <w:tcPr>
            <w:tcW w:type="dxa" w:w="2880"/>
          </w:tcPr>
          <w:p>
            <w:r/>
            <w:r>
              <w:rPr>
                <w:b w:val="0"/>
              </w:rPr>
              <w:t>Строительно-монтажные работы, включая переход методом ННБ и монтаж ГРПШ</w:t>
            </w:r>
          </w:p>
        </w:tc>
        <w:tc>
          <w:tcPr>
            <w:tcW w:type="dxa" w:w="2880"/>
          </w:tcPr>
          <w:p>
            <w:r/>
            <w:r>
              <w:rPr>
                <w:b w:val="0"/>
              </w:rPr>
              <w:t>70 календарных дней</w:t>
            </w:r>
          </w:p>
        </w:tc>
      </w:tr>
      <w:tr>
        <w:tc>
          <w:tcPr>
            <w:tcW w:type="dxa" w:w="2880"/>
          </w:tcPr>
          <w:p>
            <w:r/>
            <w:r>
              <w:rPr>
                <w:b w:val="0"/>
              </w:rPr>
              <w:t>3</w:t>
            </w:r>
          </w:p>
        </w:tc>
        <w:tc>
          <w:tcPr>
            <w:tcW w:type="dxa" w:w="2880"/>
          </w:tcPr>
          <w:p>
            <w:r/>
            <w:r>
              <w:rPr>
                <w:b w:val="0"/>
              </w:rPr>
              <w:t>Пусконаладочные работы, врезка, первичный пуск газа, оформление исполнительной документации</w:t>
            </w:r>
          </w:p>
        </w:tc>
        <w:tc>
          <w:tcPr>
            <w:tcW w:type="dxa" w:w="2880"/>
          </w:tcPr>
          <w:p>
            <w:r/>
            <w:r>
              <w:rPr>
                <w:b w:val="0"/>
              </w:rPr>
              <w:t>20 календарных дней</w:t>
            </w:r>
          </w:p>
        </w:tc>
      </w:tr>
    </w:tbl>
    <w:p>
      <w:r>
        <w:rPr>
          <w:b w:val="0"/>
        </w:rPr>
        <w:t>2.3. Сроки выполнения этапов исчисляются последовательно; началом каждого последующего этапа считается день, следующий за днём подписания Сторонами акта сдачи-приёмки работ по предыдущему этапу.</w:t>
      </w:r>
    </w:p>
    <w:p>
      <w:r>
        <w:rPr>
          <w:b w:val="0"/>
        </w:rPr>
        <w:t>2.4. Подрядчик вправе завершить работы досрочно. Досрочная сдача результата работ не влечёт изменения цены Договора.</w:t>
      </w:r>
    </w:p>
    <w:p>
      <w:r>
        <w:rPr>
          <w:b w:val="0"/>
        </w:rPr>
        <w:t>2.5. В случае приостановления работ по обстоятельствам, не зависящим от Подрядчика (в том числе непередача Заказчиком исходных данных, отсутствие допуска на площадку), сроки выполнения работ продлеваются соразмерно периоду приостановления, что оформляется дополнительным соглашением Сторон.</w:t>
      </w:r>
    </w:p>
    <w:p>
      <w:pPr>
        <w:pStyle w:val="Heading2"/>
      </w:pPr>
      <w:r>
        <w:t>3. Цена Договора и порядок расчётов</w:t>
      </w:r>
    </w:p>
    <w:p>
      <w:r>
        <w:rPr>
          <w:b w:val="0"/>
        </w:rPr>
        <w:t>3.1. Цена Договора составляет 8 460 000,00 (Восемь миллионов четыреста шестьдесят тысяч) рублей 00 копеек, в том числе НДС 20 % — 1 410 000,00 рубля. Цена Договора определена протоколом согласования договорной цены (Приложение № 3 к Договору).</w:t>
      </w:r>
    </w:p>
    <w:p>
      <w:r>
        <w:rPr>
          <w:b w:val="0"/>
        </w:rPr>
        <w:t>3.2. Цена Договора является твёрдой, определена на весь срок исполнения Договора и включает стоимость всех работ, материалов, оборудования, транспортных расходов, а также все налоги, сборы и иные обязательные платежи.</w:t>
      </w:r>
    </w:p>
    <w:p>
      <w:r>
        <w:rPr>
          <w:b w:val="0"/>
        </w:rPr>
        <w:t>3.3. Заказчик выплачивает Подрядчику аванс в размере 30 % (тридцати процентов) от цены Договора, что составляет 2 538 000,00 рубля, в течение 10 (десяти) банковских дней с даты подписания Договора и получения счёта Подрядчика.</w:t>
      </w:r>
    </w:p>
    <w:p>
      <w:r>
        <w:rPr>
          <w:b w:val="0"/>
        </w:rPr>
        <w:t>3.4. Оплата выполненных работ по этапам 1 и 2 производится на основании подписанных Сторонами актов о приёмке выполненных работ (форма КС-2) и справок о стоимости выполненных работ и затрат (форма КС-3) в течение 15 (пятнадцати) календарных дней с даты их подписания, за вычетом части аванса, засчитываемой пропорционально стоимости принятого этапа.</w:t>
      </w:r>
    </w:p>
    <w:p>
      <w:r>
        <w:rPr>
          <w:b w:val="0"/>
        </w:rPr>
        <w:t>3.5. Окончательный расчёт производится в течение 15 (пятнадцати) календарных дней с даты подписания Сторонами акта сдачи-приёмки результата работ по Договору.</w:t>
      </w:r>
    </w:p>
    <w:p>
      <w:r>
        <w:rPr>
          <w:b w:val="0"/>
        </w:rPr>
        <w:t>3.6. В качестве обеспечения исполнения обязательств по Договору Подрядчик в течение 10 (десяти) рабочих дней с даты подписания Договора предоставляет Заказчику безотзывную банковскую гарантию на сумму 10 % (десять процентов) от цены Договора со сроком действия, превышающим гарантийный срок, установленный пунктом 7.1 Договора, не менее чем на 30 календарных дней.</w:t>
      </w:r>
    </w:p>
    <w:p>
      <w:r>
        <w:rPr>
          <w:b w:val="0"/>
        </w:rPr>
        <w:t>3.7. Расчёты по Договору производятся платёжными поручениями в безналичном порядке. Обязательство Заказчика по оплате считается исполненным с даты списания денежных средств с расчётного счёта Заказчика.</w:t>
      </w:r>
    </w:p>
    <w:p>
      <w:r>
        <w:rPr>
          <w:b w:val="0"/>
        </w:rPr>
        <w:t>3.8. Стоимость дополнительных работ, не предусмотренных Договором, определяется дополнительным соглашением Сторон. Дополнительные работы, выполненные без письменного согласования с Заказчиком, оплате не подлежат.</w:t>
      </w:r>
    </w:p>
    <w:p>
      <w:pPr>
        <w:pStyle w:val="Heading2"/>
      </w:pPr>
      <w:r>
        <w:t>4. Права и обязанности Сторон</w:t>
      </w:r>
    </w:p>
    <w:p>
      <w:r>
        <w:rPr>
          <w:b w:val="0"/>
        </w:rPr>
        <w:t>4.1. Подрядчик обязан:</w:t>
      </w:r>
    </w:p>
    <w:p>
      <w:r>
        <w:rPr>
          <w:b w:val="0"/>
        </w:rPr>
        <w:t>4.1.1. выполнить работы в объёме и в сроки, предусмотренные Договором, и сдать результат работ Заказчику;</w:t>
      </w:r>
    </w:p>
    <w:p>
      <w:r>
        <w:rPr>
          <w:b w:val="0"/>
        </w:rPr>
        <w:t>4.1.2. до начала строительно-монтажных работ получить разрешительную документацию, необходимую для производства работ, включая ордер на производство земляных работ и согласования владельцев пересекаемых коммуникаций;</w:t>
      </w:r>
    </w:p>
    <w:p>
      <w:r>
        <w:rPr>
          <w:b w:val="0"/>
        </w:rPr>
        <w:t>4.1.3. выполнять работы силами квалифицированного персонала, аттестованного в установленном порядке; на весь период исполнения Договора являться членом саморегулируемой организации в области строительства с правом выполнения работ на особо опасных объектах;</w:t>
      </w:r>
    </w:p>
    <w:p>
      <w:r>
        <w:rPr>
          <w:b w:val="0"/>
        </w:rPr>
        <w:t>4.1.4. обеспечить на месте производства работ соблюдение требований охраны труда, промышленной и пожарной безопасности, а также сохранность действующих коммуникаций;</w:t>
      </w:r>
    </w:p>
    <w:p>
      <w:r>
        <w:rPr>
          <w:b w:val="0"/>
        </w:rPr>
        <w:t>4.1.5. вести общий и специальные журналы работ, оформлять исполнительную документацию в полном объёме;</w:t>
      </w:r>
    </w:p>
    <w:p>
      <w:r>
        <w:rPr>
          <w:b w:val="0"/>
        </w:rPr>
        <w:t>4.1.6. письменно извещать Заказчика о готовности скрытых работ к освидетельствованию не позднее чем за 3 (три) рабочих дня;</w:t>
      </w:r>
    </w:p>
    <w:p>
      <w:r>
        <w:rPr>
          <w:b w:val="0"/>
        </w:rPr>
        <w:t>4.1.7. своими силами и за свой счёт устранять недостатки работ, выявленные при приёмке и в течение гарантийного срока;</w:t>
      </w:r>
    </w:p>
    <w:p>
      <w:r>
        <w:rPr>
          <w:b w:val="0"/>
        </w:rPr>
        <w:t>4.1.8. по завершении работ вывезти с площадки принадлежащие ему технику, оборудование и строительный мусор, восстановить нарушенное благоустройство.</w:t>
      </w:r>
    </w:p>
    <w:p>
      <w:r>
        <w:rPr>
          <w:b w:val="0"/>
        </w:rPr>
        <w:t>4.2. Заказчик обязан:</w:t>
      </w:r>
    </w:p>
    <w:p>
      <w:r>
        <w:rPr>
          <w:b w:val="0"/>
        </w:rPr>
        <w:t>4.2.1. передать Подрядчику технические условия, исходные данные и документацию по перечню Приложения № 1 в течение 5 (пяти) рабочих дней с даты подписания Договора;</w:t>
      </w:r>
    </w:p>
    <w:p>
      <w:r>
        <w:rPr>
          <w:b w:val="0"/>
        </w:rPr>
        <w:t>4.2.2. обеспечить допуск персонала и техники Подрядчика к месту производства работ;</w:t>
      </w:r>
    </w:p>
    <w:p>
      <w:r>
        <w:rPr>
          <w:b w:val="0"/>
        </w:rPr>
        <w:t>4.2.3. осуществлять строительный контроль, назначить ответственное лицо и письменно уведомить об этом Подрядчика;</w:t>
      </w:r>
    </w:p>
    <w:p>
      <w:r>
        <w:rPr>
          <w:b w:val="0"/>
        </w:rPr>
        <w:t>4.2.4. принять результат надлежаще выполненных работ и оплатить его в порядке, предусмотренном разделом 3 Договора.</w:t>
      </w:r>
    </w:p>
    <w:p>
      <w:r>
        <w:rPr>
          <w:b w:val="0"/>
        </w:rPr>
        <w:t>4.3. Заказчик вправе:</w:t>
      </w:r>
    </w:p>
    <w:p>
      <w:r>
        <w:rPr>
          <w:b w:val="0"/>
        </w:rPr>
        <w:t>4.3.1. контролировать ход и качество выполняемых работ, соблюдение сроков их выполнения, не вмешиваясь в оперативно-хозяйственную деятельность Подрядчика;</w:t>
      </w:r>
    </w:p>
    <w:p>
      <w:r>
        <w:rPr>
          <w:b w:val="0"/>
        </w:rPr>
        <w:t>4.3.2. требовать от Подрядчика замены субподрядной организации, систематически нарушающей требования безопасности или качества работ.</w:t>
      </w:r>
    </w:p>
    <w:p>
      <w:r>
        <w:rPr>
          <w:b w:val="0"/>
        </w:rPr>
        <w:t>4.4. Подрядчик вправе привлекать к исполнению Договора субподрядные организации, имеющие необходимые допуски, оставаясь ответственным перед Заказчиком за их действия как за свои собственные.</w:t>
      </w:r>
    </w:p>
    <w:p>
      <w:pPr>
        <w:pStyle w:val="Heading2"/>
      </w:pPr>
      <w:r>
        <w:t>5. Порядок сдачи и приёмки работ</w:t>
      </w:r>
    </w:p>
    <w:p>
      <w:r>
        <w:rPr>
          <w:b w:val="0"/>
        </w:rPr>
        <w:t>5.1. По завершении каждого этапа Подрядчик направляет Заказчику письменное уведомление о готовности к сдаче с приложением комплекта исполнительной документации по этапу и подписанных со своей стороны актов.</w:t>
      </w:r>
    </w:p>
    <w:p>
      <w:r>
        <w:rPr>
          <w:b w:val="0"/>
        </w:rPr>
        <w:t>5.2. Заказчик в течение 10 (десяти) рабочих дней с даты получения уведомления обязан рассмотреть представленные документы, принять работы и подписать акт либо направить Подрядчику мотивированный отказ от приёмки с перечнем недостатков.</w:t>
      </w:r>
    </w:p>
    <w:p>
      <w:r>
        <w:rPr>
          <w:b w:val="0"/>
        </w:rPr>
        <w:t>5.3. Освидетельствование скрытых работ производится совместно представителями Сторон с оформлением актов освидетельствования скрытых работ. Работы, закрытые без освидетельствования, по требованию Заказчика подлежат вскрытию за счёт Подрядчика.</w:t>
      </w:r>
    </w:p>
    <w:p>
      <w:r>
        <w:rPr>
          <w:b w:val="0"/>
        </w:rPr>
        <w:t>5.4. При мотивированном отказе Заказчика от приёмки Сторонами составляется двусторонний акт с перечнем недостатков и сроками их устранения. Устранение недостатков, возникших по вине Подрядчика, производится за его счёт и не продлевает сроки выполнения работ по Договору.</w:t>
      </w:r>
    </w:p>
    <w:p>
      <w:r>
        <w:rPr>
          <w:b w:val="0"/>
        </w:rPr>
        <w:t>5.5. Подписание акта сдачи-приёмки результата работ не лишает Заказчика права предъявлять требования, связанные со скрытыми недостатками, выявленными в течение гарантийного срока.</w:t>
      </w:r>
    </w:p>
    <w:p>
      <w:pPr>
        <w:pStyle w:val="Heading2"/>
      </w:pPr>
      <w:r>
        <w:t>6. Ответственность Сторон</w:t>
      </w:r>
    </w:p>
    <w:p>
      <w:r>
        <w:rPr>
          <w:b w:val="0"/>
        </w:rPr>
        <w:t>6.1.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условиями Договора.</w:t>
      </w:r>
    </w:p>
    <w:p>
      <w:r>
        <w:rPr>
          <w:b w:val="0"/>
        </w:rPr>
        <w:t>6.2. За нарушение сроков выполнения работ (как конечного, так и сроков этапов) Заказчик вправе требовать от Подрядчика уплаты неустойки в размере 0,5 % (ноль целых пяти десятых процента) от стоимости соответствующего этапа за каждый день просрочки, начиная с первого дня просрочки, но в совокупности не более 20 % (двадцати процентов) от цены Договора.</w:t>
      </w:r>
    </w:p>
    <w:p>
      <w:r>
        <w:rPr>
          <w:b w:val="0"/>
        </w:rPr>
        <w:t>6.3. За нарушение срока устранения недостатков, установленного актом, предусмотренным пунктом 5.4 Договора, Заказчик вправе требовать от Подрядчика уплаты штрафа в размере 25 000 (двадцати пяти тысяч) рублей за каждый случай нарушения.</w:t>
      </w:r>
    </w:p>
    <w:p>
      <w:r>
        <w:rPr>
          <w:b w:val="0"/>
        </w:rPr>
        <w:t>6.4. За нарушение сроков оплаты, предусмотренных разделом 3 Договора, Подрядчик вправе требовать от Заказчика уплаты неустойки в размере 1/300 ключевой ставки Банка России, действующей на день уплаты, от неоплаченной в срок суммы за каждый день просрочки, но не более 5 % (пяти процентов) от неоплаченной суммы.</w:t>
      </w:r>
    </w:p>
    <w:p>
      <w:r>
        <w:rPr>
          <w:b w:val="0"/>
        </w:rPr>
        <w:t>6.5. Уплата неустойки (штрафа) не освобождает Стороны от исполнения обязательств по Договору.</w:t>
      </w:r>
    </w:p>
    <w:p>
      <w:r>
        <w:rPr>
          <w:b w:val="0"/>
        </w:rPr>
        <w:t>6.6. Подрядчик несёт ответственность за вред, причинённый третьим лицам при производстве работ, а также за повреждение действующих коммуникаций, допущенное по его вине.</w:t>
      </w:r>
    </w:p>
    <w:p>
      <w:r>
        <w:rPr>
          <w:b w:val="0"/>
        </w:rPr>
        <w:t>6.7. Требование об уплате неустойки (штрафа) оформляется письменной претензией. Неустойка подлежит уплате в течение 10 (десяти) банковских дней с даты получения претензии.</w:t>
      </w:r>
    </w:p>
    <w:p>
      <w:pPr>
        <w:pStyle w:val="Heading2"/>
      </w:pPr>
      <w:r>
        <w:t>7. Гарантии качества</w:t>
      </w:r>
    </w:p>
    <w:p>
      <w:r>
        <w:rPr>
          <w:b w:val="0"/>
        </w:rPr>
        <w:t>7.1. Гарантийный срок на результат работ, включая применённые материалы и смонтированное оборудование, составляет 36 (тридцать шесть) месяцев с даты подписания Сторонами акта сдачи-приёмки результата работ.</w:t>
      </w:r>
    </w:p>
    <w:p>
      <w:r>
        <w:rPr>
          <w:b w:val="0"/>
        </w:rPr>
        <w:t>7.2. Гарантия не распространяется на случаи повреждения результата работ вследствие действий третьих лиц, нарушения правил эксплуатации либо нормального износа.</w:t>
      </w:r>
    </w:p>
    <w:p>
      <w:r>
        <w:rPr>
          <w:b w:val="0"/>
        </w:rPr>
        <w:t>7.3. При выявлении недостатков в течение гарантийного срока Заказчик направляет Подрядчику письменное уведомление. Стороны в течение 5 (пяти) рабочих дней с даты получения уведомления составляют двусторонний акт о выявленных недостатках с указанием порядка и сроков их устранения. При неявке представителя Подрядчика акт составляется Заказчиком в одностороннем порядке и имеет силу двустороннего.</w:t>
      </w:r>
    </w:p>
    <w:p>
      <w:r>
        <w:rPr>
          <w:b w:val="0"/>
        </w:rPr>
        <w:t>7.4. Подрядчик обязан устранить недостатки, выявленные в течение гарантийного срока, своими силами и за свой счёт в срок, не превышающий 20 (двадцати) календарных дней с даты подписания акта о выявленных недостатках.</w:t>
      </w:r>
    </w:p>
    <w:p>
      <w:r>
        <w:rPr>
          <w:b w:val="0"/>
        </w:rPr>
        <w:t>7.5. Гарантийный срок продлевается на период, в течение которого результат работ не мог эксплуатироваться вследствие выявленных недостатков.</w:t>
      </w:r>
    </w:p>
    <w:p>
      <w:pPr>
        <w:pStyle w:val="Heading2"/>
      </w:pPr>
      <w:r>
        <w:t>8. Обстоятельства непреодолимой силы</w:t>
      </w:r>
    </w:p>
    <w:p>
      <w:r>
        <w:rPr>
          <w:b w:val="0"/>
        </w:rPr>
        <w:t>8.1. Стороны освобождаются от ответственности за частичное или полное неисполнение обязательств по Договору, если оно явилось следствием обстоятельств непреодолимой силы, возникших после заключения Договора, которые Сторона не могла ни предвидеть, ни предотвратить разумными мерами.</w:t>
      </w:r>
    </w:p>
    <w:p>
      <w:r>
        <w:rPr>
          <w:b w:val="0"/>
        </w:rPr>
        <w:t>8.2. Сторона, для которой наступили такие обстоятельства, обязана письменно уведомить другую Сторону в течение 5 (пяти) рабочих дней с даты их наступления с приложением подтверждающих документов, выданных уполномоченным органом.</w:t>
      </w:r>
    </w:p>
    <w:p>
      <w:r>
        <w:rPr>
          <w:b w:val="0"/>
        </w:rPr>
        <w:t>8.3. Срок исполнения обязательств отодвигается соразмерно времени действия обстоятельств непреодолимой силы и их последствий.</w:t>
      </w:r>
    </w:p>
    <w:p>
      <w:r>
        <w:rPr>
          <w:b w:val="0"/>
        </w:rPr>
        <w:t>8.4. Если обстоятельства непреодолимой силы действуют более 60 (шестидесяти) календарных дней подряд, каждая из Сторон вправе отказаться от исполнения Договора в одностороннем порядке, письменно уведомив другую Сторону не менее чем за 10 (десять) календарных дней. В этом случае Стороны производят взаиморасчёты за фактически выполненные и принятые работы.</w:t>
      </w:r>
    </w:p>
    <w:p>
      <w:pPr>
        <w:pStyle w:val="Heading2"/>
      </w:pPr>
      <w:r>
        <w:t>9. Порядок разрешения споров</w:t>
      </w:r>
    </w:p>
    <w:p>
      <w:r>
        <w:rPr>
          <w:b w:val="0"/>
        </w:rPr>
        <w:t>9.1. Все споры и разногласия по Договору разрешаются в претензионном порядке. Срок рассмотрения претензии — 15 (пятнадцать) календарных дней с даты её получения.</w:t>
      </w:r>
    </w:p>
    <w:p>
      <w:r>
        <w:rPr>
          <w:b w:val="0"/>
        </w:rPr>
        <w:t>9.2. При недостижении согласия спор передаётся на рассмотрение Арбитражного суда Тверской области.</w:t>
      </w:r>
    </w:p>
    <w:p>
      <w:pPr>
        <w:pStyle w:val="Heading2"/>
      </w:pPr>
      <w:r>
        <w:t>10. Срок действия, изменение и расторжение Договора</w:t>
      </w:r>
    </w:p>
    <w:p>
      <w:r>
        <w:rPr>
          <w:b w:val="0"/>
        </w:rPr>
        <w:t>10.1. Договор вступает в силу с даты его подписания обеими Сторонами и действует до полного исполнения Сторонами своих обязательств.</w:t>
      </w:r>
    </w:p>
    <w:p>
      <w:r>
        <w:rPr>
          <w:b w:val="0"/>
        </w:rPr>
        <w:t>10.2. Изменения и дополнения к Договору действительны при условии их совершения в письменной форме и подписания уполномоченными представителями обеих Сторон.</w:t>
      </w:r>
    </w:p>
    <w:p>
      <w:r>
        <w:rPr>
          <w:b w:val="0"/>
        </w:rPr>
        <w:t>10.3. Заказчик вправе отказаться от исполнения Договора в одностороннем порядке в случаях, предусмотренных законодательством, а также при нарушении Подрядчиком сроков выполнения работ более чем на 30 (тридцать) календарных дней, письменно уведомив Подрядчика не менее чем за 10 (десять) календарных дней до даты расторжения.</w:t>
      </w:r>
    </w:p>
    <w:p>
      <w:r>
        <w:rPr>
          <w:b w:val="0"/>
        </w:rPr>
        <w:t>10.4. При расторжении Договора Стороны в течение 10 (десяти) рабочих дней составляют акт сверки взаимных расчётов и производят окончательные взаиморасчёты за фактически выполненные и принятые работы.</w:t>
      </w:r>
    </w:p>
    <w:p>
      <w:pPr>
        <w:pStyle w:val="Heading2"/>
      </w:pPr>
      <w:r>
        <w:t>11. Заключительные положения</w:t>
      </w:r>
    </w:p>
    <w:p>
      <w:r>
        <w:rPr>
          <w:b w:val="0"/>
        </w:rPr>
        <w:t>11.1. Уведомления и иная юридически значимая корреспонденция направляются Сторонами по адресам, указанным в разделе 12 Договора, заказным письмом с уведомлением о вручении, нарочным под расписку либо по адресам электронной почты, указанным в разделе 12, с последующим направлением оригинала.</w:t>
      </w:r>
    </w:p>
    <w:p>
      <w:r>
        <w:rPr>
          <w:b w:val="0"/>
        </w:rPr>
        <w:t>11.2. Стороны обязаны письменно извещать друг друга об изменении своих адресов и реквизитов в течение 5 (пяти) рабочих дней с даты изменения.</w:t>
      </w:r>
    </w:p>
    <w:p>
      <w:r>
        <w:rPr>
          <w:b w:val="0"/>
        </w:rPr>
        <w:t>11.3. Во всём, что не предусмотрено Договором, Стороны руководствуются законодательством Российской Федерации.</w:t>
      </w:r>
    </w:p>
    <w:p>
      <w:r>
        <w:rPr>
          <w:b w:val="0"/>
        </w:rPr>
        <w:t>11.4. Неотъемлемой частью Договора являются: Приложение № 1 — задание на проектирование и перечень исходных данных; Приложение № 2 — график производства работ; Приложение № 3 — протокол согласования договорной цены.</w:t>
      </w:r>
    </w:p>
    <w:p>
      <w:r>
        <w:rPr>
          <w:b w:val="0"/>
        </w:rPr>
        <w:t>11.5. Договор составлен в двух экземплярах, имеющих равную юридическую силу, по одному для каждой из Сторон.</w:t>
      </w:r>
    </w:p>
    <w:p>
      <w:pPr>
        <w:pStyle w:val="Heading2"/>
      </w:pPr>
      <w:r>
        <w:t>12. Адреса, реквизиты и подписи Сторон</w:t>
      </w:r>
    </w:p>
    <w:p>
      <w:r>
        <w:rPr>
          <w:b/>
        </w:rPr>
        <w:t>Заказчик:</w:t>
      </w:r>
    </w:p>
    <w:p>
      <w:r>
        <w:rPr>
          <w:b w:val="0"/>
        </w:rPr>
        <w:t>Акционерное общество «Облгазсеть-Инжиниринг»</w:t>
      </w:r>
    </w:p>
    <w:p>
      <w:r>
        <w:rPr>
          <w:b w:val="0"/>
        </w:rPr>
        <w:t>Юридический адрес: 170100, г. Тверь, ул. Индустриальная, д. 14</w:t>
      </w:r>
    </w:p>
    <w:p>
      <w:r>
        <w:rPr>
          <w:b w:val="0"/>
        </w:rPr>
        <w:t>ИНН 6950218407, КПП 695001001, ОГРН 1156952011240</w:t>
      </w:r>
    </w:p>
    <w:p>
      <w:r>
        <w:rPr>
          <w:b w:val="0"/>
        </w:rPr>
        <w:t>Р/с 40702810600000041827 в АО КБ «Верхневолжский», г. Тверь</w:t>
      </w:r>
    </w:p>
    <w:p>
      <w:r>
        <w:rPr>
          <w:b w:val="0"/>
        </w:rPr>
        <w:t>К/с 30101810400000000719, БИК 042809719</w:t>
      </w:r>
    </w:p>
    <w:p>
      <w:r>
        <w:rPr>
          <w:b w:val="0"/>
        </w:rPr>
        <w:t>Адрес электронной почты: office@ogs-engineering.example</w:t>
      </w:r>
    </w:p>
    <w:p>
      <w:r>
        <w:rPr>
          <w:b/>
        </w:rPr>
        <w:t>Подрядчик:</w:t>
      </w:r>
    </w:p>
    <w:p>
      <w:r>
        <w:rPr>
          <w:b w:val="0"/>
        </w:rPr>
        <w:t>Общество с ограниченной ответственностью «СтройГазКомплект»</w:t>
      </w:r>
    </w:p>
    <w:p>
      <w:r>
        <w:rPr>
          <w:b w:val="0"/>
        </w:rPr>
        <w:t>Юридический адрес: 172390, Тверская область, г. Ржев, Осташковское шоссе, д. 19, стр. 2</w:t>
      </w:r>
    </w:p>
    <w:p>
      <w:r>
        <w:rPr>
          <w:b w:val="0"/>
        </w:rPr>
        <w:t>ИНН 6914028351, КПП 691401001, ОГРН 1206900007415</w:t>
      </w:r>
    </w:p>
    <w:p>
      <w:r>
        <w:rPr>
          <w:b w:val="0"/>
        </w:rPr>
        <w:t>Р/с 40702810900000018356 в АО КБ «Верхневолжский», г. Тверь</w:t>
      </w:r>
    </w:p>
    <w:p>
      <w:r>
        <w:rPr>
          <w:b w:val="0"/>
        </w:rPr>
        <w:t>К/с 30101810400000000719, БИК 042809719</w:t>
      </w:r>
    </w:p>
    <w:p>
      <w:r>
        <w:rPr>
          <w:b w:val="0"/>
        </w:rPr>
        <w:t>Адрес электронной почты: info@sgk-rzhev.example</w:t>
      </w:r>
    </w:p>
    <w:tbl>
      <w:tblPr>
        <w:tblStyle w:val="TableGrid"/>
        <w:tblW w:type="auto" w:w="0"/>
        <w:tblLook w:firstColumn="1" w:firstRow="1" w:lastColumn="0" w:lastRow="0" w:noHBand="0" w:noVBand="1" w:val="04A0"/>
      </w:tblPr>
      <w:tblGrid>
        <w:gridCol w:w="4320"/>
        <w:gridCol w:w="4320"/>
      </w:tblGrid>
      <w:tr>
        <w:tc>
          <w:tcPr>
            <w:tcW w:type="dxa" w:w="4320"/>
          </w:tcPr>
          <w:p>
            <w:r/>
            <w:r>
              <w:rPr>
                <w:b w:val="0"/>
              </w:rPr>
              <w:t>Заказчик</w:t>
            </w:r>
          </w:p>
        </w:tc>
        <w:tc>
          <w:tcPr>
            <w:tcW w:type="dxa" w:w="4320"/>
          </w:tcPr>
          <w:p>
            <w:r/>
            <w:r>
              <w:rPr>
                <w:b w:val="0"/>
              </w:rPr>
              <w:t>Подрядчик</w:t>
            </w:r>
          </w:p>
        </w:tc>
      </w:tr>
      <w:tr>
        <w:tc>
          <w:tcPr>
            <w:tcW w:type="dxa" w:w="4320"/>
          </w:tcPr>
          <w:p>
            <w:r/>
            <w:r>
              <w:rPr>
                <w:b w:val="0"/>
              </w:rPr>
              <w:t>Генеральный директор АО «Облгазсеть-Инжиниринг»</w:t>
            </w:r>
          </w:p>
        </w:tc>
        <w:tc>
          <w:tcPr>
            <w:tcW w:type="dxa" w:w="4320"/>
          </w:tcPr>
          <w:p>
            <w:r/>
            <w:r>
              <w:rPr>
                <w:b w:val="0"/>
              </w:rPr>
              <w:t>Генеральный директор ООО «СтройГазКомплект»</w:t>
            </w:r>
          </w:p>
        </w:tc>
      </w:tr>
      <w:tr>
        <w:tc>
          <w:tcPr>
            <w:tcW w:type="dxa" w:w="4320"/>
          </w:tcPr>
          <w:p>
            <w:r/>
            <w:r>
              <w:rPr>
                <w:b w:val="0"/>
              </w:rPr>
              <w:t>_______________ / Д. Н. Савельев /</w:t>
            </w:r>
          </w:p>
        </w:tc>
        <w:tc>
          <w:tcPr>
            <w:tcW w:type="dxa" w:w="4320"/>
          </w:tcPr>
          <w:p>
            <w:r/>
            <w:r>
              <w:rPr>
                <w:b w:val="0"/>
              </w:rPr>
              <w:t>_______________ / А. П. Крутов /</w:t>
            </w:r>
          </w:p>
        </w:tc>
      </w:tr>
      <w:tr>
        <w:tc>
          <w:tcPr>
            <w:tcW w:type="dxa" w:w="4320"/>
          </w:tcPr>
          <w:p>
            <w:r/>
            <w:r>
              <w:rPr>
                <w:b w:val="0"/>
              </w:rPr>
              <w:t>М.П.</w:t>
            </w:r>
          </w:p>
        </w:tc>
        <w:tc>
          <w:tcPr>
            <w:tcW w:type="dxa" w:w="4320"/>
          </w:tcPr>
          <w:p>
            <w:r/>
            <w:r>
              <w:rPr>
                <w:b w:val="0"/>
              </w:rPr>
              <w:t>М.П.</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